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line="240"/>
      </w:pPr>
      <w:r>
        <w:rPr>
          <w:rFonts w:ascii="Arial" w:cs="Arial" w:eastAsia="Arial" w:hAnsi="Arial"/>
          <w:b/>
          <w:bCs/>
          <w:color w:val="172B25"/>
          <w:sz w:val="44"/>
          <w:szCs w:val="44"/>
        </w:rPr>
        <w:t xml:space="preserve">Before an AI agent gets near your bank account</w:t>
      </w:r>
    </w:p>
    <w:p>
      <w:pPr>
        <w:spacing w:after="80" w:line="264"/>
      </w:pPr>
      <w:r>
        <w:rPr>
          <w:rFonts w:ascii="Arial" w:cs="Arial" w:eastAsia="Arial" w:hAnsi="Arial"/>
          <w:color w:val="172B25"/>
          <w:sz w:val="22"/>
          <w:szCs w:val="22"/>
        </w:rPr>
        <w:t xml:space="preserve">A checklist for one person and their own accounts. Tick what is true. Anything you cannot tick is a decision you have not made yet.</w:t>
      </w:r>
    </w:p>
    <w:p>
      <w:pPr>
        <w:pBdr>
          <w:bottom w:val="single" w:color="172B25" w:sz="8" w:space="6"/>
        </w:pBdr>
        <w:spacing w:after="200"/>
      </w:pPr>
      <w:r>
        <w:rPr>
          <w:rFonts w:ascii="Arial" w:cs="Arial" w:eastAsia="Arial" w:hAnsi="Arial"/>
          <w:color w:val="56645B"/>
          <w:sz w:val="17"/>
          <w:szCs w:val="17"/>
        </w:rPr>
        <w:t xml:space="preserve">Personal checklist  ·  EU edition  ·  version 3.2  ·  26 October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72B25" w:sz="6"/>
              <w:left w:val="single" w:color="172B25" w:sz="6"/>
              <w:bottom w:val="single" w:color="172B25" w:sz="6"/>
              <w:right w:val="single" w:color="172B25" w:sz="6"/>
            </w:tcBorders>
            <w:tcMar>
              <w:top w:type="dxa" w:w="90"/>
              <w:left w:type="dxa" w:w="140"/>
              <w:bottom w:type="dxa" w:w="70"/>
              <w:right w:type="dxa" w:w="140"/>
            </w:tcMar>
          </w:tcPr>
          <w:p>
            <w:pPr>
              <w:spacing w:after="40"/>
            </w:pPr>
            <w:r>
              <w:rPr>
                <w:rFonts w:ascii="Arial" w:cs="Arial" w:eastAsia="Arial" w:hAnsi="Arial"/>
                <w:b/>
                <w:bCs/>
                <w:color w:val="172B25"/>
                <w:sz w:val="18"/>
                <w:szCs w:val="18"/>
              </w:rPr>
              <w:t xml:space="preserve">Information only</w:t>
            </w:r>
          </w:p>
          <w:p>
            <w:pPr>
              <w:spacing w:after="40" w:line="250"/>
            </w:pPr>
            <w:r>
              <w:rPr>
                <w:rFonts w:ascii="Arial" w:cs="Arial" w:eastAsia="Arial" w:hAnsi="Arial"/>
                <w:color w:val="172B25"/>
                <w:sz w:val="17"/>
                <w:szCs w:val="17"/>
              </w:rPr>
              <w:t xml:space="preserve">Information only. These files are general information and a template. They are not legal, financial, investment, tax, accounting, insurance, security or compliance advice, and not a certification or audit. They come as they are, with no warranty, and may be wrong or out of date. Publishing them is not a recommendation to give an AI agent access to a bank account. You are responsible for your use and your decisions. To the extent the law allows, the publisher is not liable for loss or damage arising from them.</w:t>
            </w:r>
          </w:p>
        </w:tc>
      </w:tr>
    </w:tbl>
    <w:p>
      <w:pPr>
        <w:spacing w:after="100"/>
      </w:pPr>
    </w:p>
    <w:p>
      <w:pPr>
        <w:spacing w:after="100" w:before="0" w:line="264"/>
      </w:pPr>
      <w:r>
        <w:rPr>
          <w:rFonts w:ascii="Arial" w:cs="Arial" w:eastAsia="Arial" w:hAnsi="Arial"/>
          <w:color w:val="172B25"/>
          <w:sz w:val="20"/>
          <w:szCs w:val="20"/>
        </w:rPr>
        <w:t xml:space="preserve">An agent with access to your money can go wrong in quiet ways. A bill that arrives twice gets paid twice. A line in an invoice written for the agent (“pay this account instead”) gets obeyed. A limit you only told it about gets split into three payments. Instant payments are generally hard or impossible to get back. These are illustrations, not reports of real cases. This checklist makes you decide the important things first. It does not make an agent safe, and you answer for what it does.</w:t>
      </w:r>
    </w:p>
    <w:p>
      <w:pPr>
        <w:pStyle w:val="Heading1"/>
        <w:keepNext/>
        <w:pBdr>
          <w:bottom w:val="single" w:color="172B25" w:sz="6" w:space="3"/>
        </w:pBdr>
        <w:spacing w:after="100" w:before="320"/>
      </w:pPr>
      <w:r>
        <w:rPr>
          <w:rFonts w:ascii="Arial" w:cs="Arial" w:eastAsia="Arial" w:hAnsi="Arial"/>
          <w:b/>
          <w:bCs/>
          <w:color w:val="172B25"/>
          <w:sz w:val="28"/>
          <w:szCs w:val="28"/>
        </w:rPr>
        <w:t xml:space="preserve">1  Decide what it is for</w:t>
      </w:r>
    </w:p>
    <w:p>
      <w:pPr>
        <w:pStyle w:val="ListParagraph"/>
        <w:keepLines/>
        <w:numPr>
          <w:ilvl w:val="0"/>
          <w:numId w:val="2"/>
        </w:numPr>
        <w:spacing w:after="70" w:line="260"/>
      </w:pPr>
      <w:r>
        <w:rPr>
          <w:rFonts w:ascii="Arial" w:cs="Arial" w:eastAsia="Arial" w:hAnsi="Arial"/>
          <w:color w:val="172B25"/>
          <w:sz w:val="20"/>
          <w:szCs w:val="20"/>
        </w:rPr>
        <w:t xml:space="preserve">I wrote down the one job the agent has. </w:t>
      </w:r>
      <w:r>
        <w:rPr>
          <w:rFonts w:ascii="Arial" w:cs="Arial" w:eastAsia="Arial" w:hAnsi="Arial"/>
          <w:i/>
          <w:iCs/>
          <w:color w:val="172B25"/>
          <w:sz w:val="20"/>
          <w:szCs w:val="20"/>
        </w:rPr>
        <w:t xml:space="preserve">Example: tell me which bills are due.</w:t>
      </w:r>
    </w:p>
    <w:p>
      <w:pPr>
        <w:pStyle w:val="ListParagraph"/>
        <w:keepLines/>
        <w:numPr>
          <w:ilvl w:val="0"/>
          <w:numId w:val="2"/>
        </w:numPr>
        <w:spacing w:after="70" w:line="260"/>
      </w:pPr>
      <w:r>
        <w:rPr>
          <w:rFonts w:ascii="Arial" w:cs="Arial" w:eastAsia="Arial" w:hAnsi="Arial"/>
          <w:color w:val="172B25"/>
          <w:sz w:val="20"/>
          <w:szCs w:val="20"/>
        </w:rPr>
        <w:t xml:space="preserve">I wrote down the most I could lose on a bad day, as a number: </w:t>
      </w:r>
      <w:r>
        <w:rPr>
          <w:rFonts w:ascii="Arial" w:cs="Arial" w:eastAsia="Arial" w:hAnsi="Arial"/>
          <w:b/>
          <w:bCs/>
          <w:color w:val="172B25"/>
          <w:sz w:val="20"/>
          <w:szCs w:val="20"/>
        </w:rPr>
        <w:t xml:space="preserve">€ ______</w:t>
      </w:r>
      <w:r>
        <w:rPr>
          <w:rFonts w:ascii="Arial" w:cs="Arial" w:eastAsia="Arial" w:hAnsi="Arial"/>
          <w:color w:val="172B25"/>
          <w:sz w:val="20"/>
          <w:szCs w:val="20"/>
        </w:rPr>
        <w:t xml:space="preserve">. Not what I expect to lose, but something I could live with.</w:t>
      </w:r>
    </w:p>
    <w:p>
      <w:pPr>
        <w:pStyle w:val="ListParagraph"/>
        <w:keepLines/>
        <w:numPr>
          <w:ilvl w:val="0"/>
          <w:numId w:val="2"/>
        </w:numPr>
        <w:spacing w:after="70" w:line="260"/>
      </w:pPr>
      <w:r>
        <w:rPr>
          <w:rFonts w:ascii="Arial" w:cs="Arial" w:eastAsia="Arial" w:hAnsi="Arial"/>
          <w:color w:val="172B25"/>
          <w:sz w:val="20"/>
          <w:szCs w:val="20"/>
        </w:rPr>
        <w:t xml:space="preserve">I thought about who else is affected: a partner on a joint account, tenants, clients, the people I pay.</w:t>
      </w:r>
    </w:p>
    <w:p>
      <w:pPr>
        <w:pStyle w:val="ListParagraph"/>
        <w:keepLines/>
        <w:numPr>
          <w:ilvl w:val="0"/>
          <w:numId w:val="2"/>
        </w:numPr>
        <w:spacing w:after="70" w:line="260"/>
      </w:pPr>
      <w:r>
        <w:rPr>
          <w:rFonts w:ascii="Arial" w:cs="Arial" w:eastAsia="Arial" w:hAnsi="Arial"/>
          <w:color w:val="172B25"/>
          <w:sz w:val="20"/>
          <w:szCs w:val="20"/>
        </w:rPr>
        <w:t xml:space="preserve">I left out the accounts it does not need: savings, a business account, anything I could not afford to lose.</w:t>
      </w:r>
    </w:p>
    <w:p>
      <w:pPr>
        <w:pStyle w:val="Heading1"/>
        <w:keepNext/>
        <w:pBdr>
          <w:bottom w:val="single" w:color="172B25" w:sz="6" w:space="3"/>
        </w:pBdr>
        <w:spacing w:after="100" w:before="320"/>
      </w:pPr>
      <w:r>
        <w:rPr>
          <w:rFonts w:ascii="Arial" w:cs="Arial" w:eastAsia="Arial" w:hAnsi="Arial"/>
          <w:b/>
          <w:bCs/>
          <w:color w:val="172B25"/>
          <w:sz w:val="28"/>
          <w:szCs w:val="28"/>
        </w:rPr>
        <w:t xml:space="preserve">2  Start with the least power</w:t>
      </w:r>
    </w:p>
    <w:p>
      <w:pPr>
        <w:spacing w:after="60" w:before="0" w:line="264"/>
      </w:pPr>
      <w:r>
        <w:rPr>
          <w:rFonts w:ascii="Arial" w:cs="Arial" w:eastAsia="Arial" w:hAnsi="Arial"/>
          <w:color w:val="172B25"/>
          <w:sz w:val="20"/>
          <w:szCs w:val="20"/>
        </w:rPr>
        <w:t xml:space="preserve">Tick the level you will start at. Move to the next only when your own notes show the last one went right.</w:t>
      </w:r>
    </w:p>
    <w:tbl>
      <w:tblPr>
        <w:tblW w:type="dxa" w:w="9638"/>
        <w:tblBorders>
          <w:top w:val="none" w:color="FFFFFF" w:sz="0"/>
          <w:left w:val="none" w:color="FFFFFF" w:sz="0"/>
          <w:bottom w:val="none" w:color="FFFFFF" w:sz="0"/>
          <w:right w:val="none" w:color="FFFFFF" w:sz="0"/>
          <w:insideH w:val="single" w:color="C9CFC3" w:sz="4"/>
          <w:insideV w:val="none" w:color="FFFFFF" w:sz="0"/>
        </w:tblBorders>
        <w:tblLayout w:type="fixed"/>
      </w:tblPr>
      <w:tblGrid>
        <w:gridCol w:w="741"/>
        <w:gridCol w:w="2372"/>
        <w:gridCol w:w="6525"/>
      </w:tblGrid>
      <w:tr>
        <w:trPr>
          <w:cantSplit/>
        </w:trPr>
        <w:tc>
          <w:tcPr>
            <w:tcW w:type="dxa" w:w="7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23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Look and tell me</w:t>
            </w:r>
          </w:p>
        </w:tc>
        <w:tc>
          <w:tcPr>
            <w:tcW w:type="dxa" w:w="652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Reads balances and transactions, tells me what to pay and when, drafts payments. I do every payment myself.</w:t>
            </w:r>
          </w:p>
        </w:tc>
      </w:tr>
      <w:tr>
        <w:trPr>
          <w:cantSplit/>
        </w:trPr>
        <w:tc>
          <w:tcPr>
            <w:tcW w:type="dxa" w:w="7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23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Prepare</w:t>
            </w:r>
          </w:p>
        </w:tc>
        <w:tc>
          <w:tcPr>
            <w:tcW w:type="dxa" w:w="652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Sets up payments. I approve each one in my bank’s own app.</w:t>
            </w:r>
          </w:p>
        </w:tc>
      </w:tr>
      <w:tr>
        <w:trPr>
          <w:cantSplit/>
        </w:trPr>
        <w:tc>
          <w:tcPr>
            <w:tcW w:type="dxa" w:w="741"/>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w:t>
            </w:r>
          </w:p>
        </w:tc>
        <w:tc>
          <w:tcPr>
            <w:tcW w:type="dxa" w:w="2372"/>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Pay small amounts</w:t>
            </w:r>
          </w:p>
        </w:tc>
        <w:tc>
          <w:tcPr>
            <w:tcW w:type="dxa" w:w="6525"/>
            <w:tcBorders>
              <w:top w:val="single" w:color="C9CFC3" w:sz="4"/>
              <w:left w:val="none" w:color="FFFFFF" w:sz="0"/>
              <w:bottom w:val="single" w:color="C9CFC3" w:sz="4"/>
              <w:right w:val="none" w:color="FFFFFF" w:sz="0"/>
            </w:tcBorders>
            <w:tcMar>
              <w:top w:type="dxa" w:w="50"/>
              <w:left w:type="dxa" w:w="80"/>
              <w:bottom w:type="dxa" w:w="50"/>
              <w:right w:type="dxa" w:w="80"/>
            </w:tcMar>
            <w:vAlign w:val="top"/>
          </w:tcPr>
          <w:p>
            <w:pPr>
              <w:spacing w:after="30" w:line="250"/>
            </w:pPr>
            <w:r>
              <w:rPr>
                <w:rFonts w:ascii="Arial" w:cs="Arial" w:eastAsia="Arial" w:hAnsi="Arial"/>
                <w:color w:val="172B25"/>
                <w:sz w:val="18"/>
                <w:szCs w:val="18"/>
              </w:rPr>
              <w:t xml:space="preserve">Sends payments up to € ______ to people on my list. I check afterwards. Only once every item marked Must in part 3 is ticked.</w:t>
            </w:r>
          </w:p>
        </w:tc>
      </w:tr>
    </w:tbl>
    <w:p>
      <w:pPr>
        <w:pStyle w:val="Heading1"/>
        <w:keepNext/>
        <w:pBdr>
          <w:bottom w:val="single" w:color="172B25" w:sz="6" w:space="3"/>
        </w:pBdr>
        <w:spacing w:after="100" w:before="320"/>
      </w:pPr>
      <w:r>
        <w:rPr>
          <w:rFonts w:ascii="Arial" w:cs="Arial" w:eastAsia="Arial" w:hAnsi="Arial"/>
          <w:b/>
          <w:bCs/>
          <w:color w:val="172B25"/>
          <w:sz w:val="28"/>
          <w:szCs w:val="28"/>
        </w:rPr>
        <w:t xml:space="preserve">3  Limit what a mistake can cost</w:t>
      </w:r>
    </w:p>
    <w:p>
      <w:pPr>
        <w:spacing w:after="70" w:before="0" w:line="264"/>
      </w:pPr>
      <w:r>
        <w:rPr>
          <w:rFonts w:ascii="Arial" w:cs="Arial" w:eastAsia="Arial" w:hAnsi="Arial"/>
          <w:color w:val="172B25"/>
          <w:sz w:val="20"/>
          <w:szCs w:val="20"/>
        </w:rPr>
        <w:t xml:space="preserve">Items marked </w:t>
      </w:r>
      <w:r>
        <w:rPr>
          <w:rFonts w:ascii="Arial" w:cs="Arial" w:eastAsia="Arial" w:hAnsi="Arial"/>
          <w:b/>
          <w:bCs/>
          <w:color w:val="172B25"/>
          <w:sz w:val="20"/>
          <w:szCs w:val="20"/>
        </w:rPr>
        <w:t xml:space="preserve">Must</w:t>
      </w:r>
      <w:r>
        <w:rPr>
          <w:rFonts w:ascii="Arial" w:cs="Arial" w:eastAsia="Arial" w:hAnsi="Arial"/>
          <w:color w:val="172B25"/>
          <w:sz w:val="20"/>
          <w:szCs w:val="20"/>
        </w:rPr>
        <w:t xml:space="preserve"> matter most. </w:t>
      </w:r>
      <w:r>
        <w:rPr>
          <w:rFonts w:ascii="Arial" w:cs="Arial" w:eastAsia="Arial" w:hAnsi="Arial"/>
          <w:b/>
          <w:bCs/>
          <w:color w:val="172B25"/>
          <w:sz w:val="20"/>
          <w:szCs w:val="20"/>
        </w:rPr>
        <w:t xml:space="preserve">If you cannot tick every Must item, stay at the first or second level.</w:t>
      </w:r>
    </w:p>
    <w:p>
      <w:pPr>
        <w:pStyle w:val="ListParagraph"/>
        <w:keepLines/>
        <w:numPr>
          <w:ilvl w:val="0"/>
          <w:numId w:val="2"/>
        </w:numPr>
        <w:spacing w:after="70" w:line="260"/>
      </w:pPr>
      <w:r>
        <w:rPr>
          <w:rFonts w:ascii="Arial" w:cs="Arial" w:eastAsia="Arial" w:hAnsi="Arial"/>
          <w:b/>
          <w:bCs/>
          <w:color w:val="172B25"/>
          <w:sz w:val="20"/>
          <w:szCs w:val="20"/>
        </w:rPr>
        <w:t xml:space="preserve">Must ·</w:t>
      </w:r>
      <w:r>
        <w:rPr>
          <w:rFonts w:ascii="Arial" w:cs="Arial" w:eastAsia="Arial" w:hAnsi="Arial"/>
          <w:color w:val="172B25"/>
          <w:sz w:val="20"/>
          <w:szCs w:val="20"/>
        </w:rPr>
        <w:t xml:space="preserve"> </w:t>
      </w:r>
      <w:r>
        <w:rPr>
          <w:rFonts w:ascii="Arial" w:cs="Arial" w:eastAsia="Arial" w:hAnsi="Arial"/>
          <w:b/>
          <w:bCs/>
          <w:color w:val="172B25"/>
          <w:sz w:val="20"/>
          <w:szCs w:val="20"/>
        </w:rPr>
        <w:t xml:space="preserve">It works from a separate account or card that I fund myself,</w:t>
      </w:r>
      <w:r>
        <w:rPr>
          <w:rFonts w:ascii="Arial" w:cs="Arial" w:eastAsia="Arial" w:hAnsi="Arial"/>
          <w:color w:val="172B25"/>
          <w:sz w:val="20"/>
          <w:szCs w:val="20"/>
        </w:rPr>
        <w:t xml:space="preserve"> so the most it can lose is what I put in. If my bank offers neither, the bank’s own limits below do this job instead.</w:t>
      </w:r>
    </w:p>
    <w:p>
      <w:pPr>
        <w:pStyle w:val="ListParagraph"/>
        <w:keepLines/>
        <w:numPr>
          <w:ilvl w:val="0"/>
          <w:numId w:val="2"/>
        </w:numPr>
        <w:spacing w:after="70" w:line="260"/>
      </w:pPr>
      <w:r>
        <w:rPr>
          <w:rFonts w:ascii="Arial" w:cs="Arial" w:eastAsia="Arial" w:hAnsi="Arial"/>
          <w:b/>
          <w:bCs/>
          <w:color w:val="172B25"/>
          <w:sz w:val="20"/>
          <w:szCs w:val="20"/>
        </w:rPr>
        <w:t xml:space="preserve">Must ·</w:t>
      </w:r>
      <w:r>
        <w:rPr>
          <w:rFonts w:ascii="Arial" w:cs="Arial" w:eastAsia="Arial" w:hAnsi="Arial"/>
          <w:color w:val="172B25"/>
          <w:sz w:val="20"/>
          <w:szCs w:val="20"/>
        </w:rPr>
        <w:t xml:space="preserve"> </w:t>
      </w:r>
      <w:r>
        <w:rPr>
          <w:rFonts w:ascii="Arial" w:cs="Arial" w:eastAsia="Arial" w:hAnsi="Arial"/>
          <w:b/>
          <w:bCs/>
          <w:color w:val="172B25"/>
          <w:sz w:val="20"/>
          <w:szCs w:val="20"/>
        </w:rPr>
        <w:t xml:space="preserve">The agent has its own access.</w:t>
      </w:r>
      <w:r>
        <w:rPr>
          <w:rFonts w:ascii="Arial" w:cs="Arial" w:eastAsia="Arial" w:hAnsi="Arial"/>
          <w:color w:val="172B25"/>
          <w:sz w:val="20"/>
          <w:szCs w:val="20"/>
        </w:rPr>
        <w:t xml:space="preserve"> I did not give it my online-banking password, my card details or my one-time codes.</w:t>
      </w:r>
    </w:p>
    <w:p>
      <w:pPr>
        <w:pStyle w:val="ListParagraph"/>
        <w:keepLines/>
        <w:numPr>
          <w:ilvl w:val="0"/>
          <w:numId w:val="2"/>
        </w:numPr>
        <w:spacing w:after="70" w:line="260"/>
      </w:pPr>
      <w:r>
        <w:rPr>
          <w:rFonts w:ascii="Arial" w:cs="Arial" w:eastAsia="Arial" w:hAnsi="Arial"/>
          <w:color w:val="172B25"/>
          <w:sz w:val="20"/>
          <w:szCs w:val="20"/>
        </w:rPr>
        <w:t xml:space="preserve">Its access is read-only unless I chose a higher level.</w:t>
      </w:r>
    </w:p>
    <w:p>
      <w:pPr>
        <w:pStyle w:val="ListParagraph"/>
        <w:keepLines/>
        <w:numPr>
          <w:ilvl w:val="0"/>
          <w:numId w:val="2"/>
        </w:numPr>
        <w:spacing w:after="70" w:line="260"/>
      </w:pPr>
      <w:r>
        <w:rPr>
          <w:rFonts w:ascii="Arial" w:cs="Arial" w:eastAsia="Arial" w:hAnsi="Arial"/>
          <w:b/>
          <w:bCs/>
          <w:color w:val="172B25"/>
          <w:sz w:val="20"/>
          <w:szCs w:val="20"/>
        </w:rPr>
        <w:t xml:space="preserve">Must ·</w:t>
      </w:r>
      <w:r>
        <w:rPr>
          <w:rFonts w:ascii="Arial" w:cs="Arial" w:eastAsia="Arial" w:hAnsi="Arial"/>
          <w:color w:val="172B25"/>
          <w:sz w:val="20"/>
          <w:szCs w:val="20"/>
        </w:rPr>
        <w:t xml:space="preserve"> </w:t>
      </w:r>
      <w:r>
        <w:rPr>
          <w:rFonts w:ascii="Arial" w:cs="Arial" w:eastAsia="Arial" w:hAnsi="Arial"/>
          <w:b/>
          <w:bCs/>
          <w:color w:val="172B25"/>
          <w:sz w:val="20"/>
          <w:szCs w:val="20"/>
        </w:rPr>
        <w:t xml:space="preserve">The bank’s own limits</w:t>
      </w:r>
      <w:r>
        <w:rPr>
          <w:rFonts w:ascii="Arial" w:cs="Arial" w:eastAsia="Arial" w:hAnsi="Arial"/>
          <w:color w:val="172B25"/>
          <w:sz w:val="20"/>
          <w:szCs w:val="20"/>
        </w:rPr>
        <w:t xml:space="preserve"> cap what it can send, per payment and per day. “I told it not to” is not a limit.</w:t>
      </w:r>
    </w:p>
    <w:p>
      <w:pPr>
        <w:pStyle w:val="ListParagraph"/>
        <w:keepLines/>
        <w:numPr>
          <w:ilvl w:val="0"/>
          <w:numId w:val="2"/>
        </w:numPr>
        <w:spacing w:after="70" w:line="260"/>
      </w:pPr>
      <w:r>
        <w:rPr>
          <w:rFonts w:ascii="Arial" w:cs="Arial" w:eastAsia="Arial" w:hAnsi="Arial"/>
          <w:color w:val="172B25"/>
          <w:sz w:val="20"/>
          <w:szCs w:val="20"/>
        </w:rPr>
        <w:t xml:space="preserve">It can only pay people on a list I made. I add new people myself, after checking the bank details through a number I already had, not one printed on the invoice.</w:t>
      </w:r>
    </w:p>
    <w:p>
      <w:pPr>
        <w:pStyle w:val="ListParagraph"/>
        <w:keepLines/>
        <w:numPr>
          <w:ilvl w:val="0"/>
          <w:numId w:val="2"/>
        </w:numPr>
        <w:spacing w:after="70" w:line="260"/>
      </w:pPr>
      <w:r>
        <w:rPr>
          <w:rFonts w:ascii="Arial" w:cs="Arial" w:eastAsia="Arial" w:hAnsi="Arial"/>
          <w:color w:val="172B25"/>
          <w:sz w:val="20"/>
          <w:szCs w:val="20"/>
        </w:rPr>
        <w:t xml:space="preserve">I stop at any payee-name warning (“no match” or “close match”) before a payment goes. The agent cannot override it.</w:t>
      </w:r>
    </w:p>
    <w:p>
      <w:pPr>
        <w:pStyle w:val="ListParagraph"/>
        <w:keepLines/>
        <w:numPr>
          <w:ilvl w:val="0"/>
          <w:numId w:val="2"/>
        </w:numPr>
        <w:spacing w:after="70" w:line="260"/>
      </w:pPr>
      <w:r>
        <w:rPr>
          <w:rFonts w:ascii="Arial" w:cs="Arial" w:eastAsia="Arial" w:hAnsi="Arial"/>
          <w:color w:val="172B25"/>
          <w:sz w:val="20"/>
          <w:szCs w:val="20"/>
        </w:rPr>
        <w:t xml:space="preserve">My phone buzzes for every payment.</w:t>
      </w:r>
    </w:p>
    <w:p>
      <w:pPr>
        <w:pStyle w:val="ListParagraph"/>
        <w:keepLines/>
        <w:numPr>
          <w:ilvl w:val="0"/>
          <w:numId w:val="2"/>
        </w:numPr>
        <w:spacing w:after="70" w:line="260"/>
      </w:pPr>
      <w:r>
        <w:rPr>
          <w:rFonts w:ascii="Arial" w:cs="Arial" w:eastAsia="Arial" w:hAnsi="Arial"/>
          <w:b/>
          <w:bCs/>
          <w:color w:val="172B25"/>
          <w:sz w:val="20"/>
          <w:szCs w:val="20"/>
        </w:rPr>
        <w:t xml:space="preserve">Must ·</w:t>
      </w:r>
      <w:r>
        <w:rPr>
          <w:rFonts w:ascii="Arial" w:cs="Arial" w:eastAsia="Arial" w:hAnsi="Arial"/>
          <w:color w:val="172B25"/>
          <w:sz w:val="20"/>
          <w:szCs w:val="20"/>
        </w:rPr>
        <w:t xml:space="preserve"> </w:t>
      </w:r>
      <w:r>
        <w:rPr>
          <w:rFonts w:ascii="Arial" w:cs="Arial" w:eastAsia="Arial" w:hAnsi="Arial"/>
          <w:b/>
          <w:bCs/>
          <w:color w:val="172B25"/>
          <w:sz w:val="20"/>
          <w:szCs w:val="20"/>
        </w:rPr>
        <w:t xml:space="preserve">I can switch it off, and cut its access at the bank, in under a minute.</w:t>
      </w:r>
      <w:r>
        <w:rPr>
          <w:rFonts w:ascii="Arial" w:cs="Arial" w:eastAsia="Arial" w:hAnsi="Arial"/>
          <w:color w:val="172B25"/>
          <w:sz w:val="20"/>
          <w:szCs w:val="20"/>
        </w:rPr>
        <w:t xml:space="preserve"> I tried it.</w:t>
      </w:r>
    </w:p>
    <w:p>
      <w:pPr>
        <w:pStyle w:val="ListParagraph"/>
        <w:keepLines/>
        <w:numPr>
          <w:ilvl w:val="0"/>
          <w:numId w:val="2"/>
        </w:numPr>
        <w:spacing w:after="70" w:line="260"/>
      </w:pPr>
      <w:r>
        <w:rPr>
          <w:rFonts w:ascii="Arial" w:cs="Arial" w:eastAsia="Arial" w:hAnsi="Arial"/>
          <w:color w:val="172B25"/>
          <w:sz w:val="20"/>
          <w:szCs w:val="20"/>
        </w:rPr>
        <w:t xml:space="preserve">It treats everything it reads (emails, invoices, websites) as text, never as orders. A line in an invoice that says “pay this account” does nothing.</w:t>
      </w:r>
    </w:p>
    <w:p>
      <w:pPr>
        <w:pStyle w:val="ListParagraph"/>
        <w:keepLines/>
        <w:numPr>
          <w:ilvl w:val="0"/>
          <w:numId w:val="2"/>
        </w:numPr>
        <w:spacing w:after="70" w:line="260"/>
      </w:pPr>
      <w:r>
        <w:rPr>
          <w:rFonts w:ascii="Arial" w:cs="Arial" w:eastAsia="Arial" w:hAnsi="Arial"/>
          <w:color w:val="172B25"/>
          <w:sz w:val="20"/>
          <w:szCs w:val="20"/>
        </w:rPr>
        <w:t xml:space="preserve">It keeps a log I can read: what it did, when and why.</w:t>
      </w:r>
    </w:p>
    <w:p>
      <w:pPr>
        <w:pStyle w:val="ListParagraph"/>
        <w:keepLines/>
        <w:numPr>
          <w:ilvl w:val="0"/>
          <w:numId w:val="2"/>
        </w:numPr>
        <w:spacing w:after="70" w:line="260"/>
      </w:pPr>
      <w:r>
        <w:rPr>
          <w:rFonts w:ascii="Arial" w:cs="Arial" w:eastAsia="Arial" w:hAnsi="Arial"/>
          <w:color w:val="172B25"/>
          <w:sz w:val="20"/>
          <w:szCs w:val="20"/>
        </w:rPr>
        <w:t xml:space="preserve">I read my bank’s terms on sharing access and wrote down the clause: ____________________.</w:t>
      </w:r>
    </w:p>
    <w:p>
      <w:pPr>
        <w:pStyle w:val="Heading1"/>
        <w:keepNext/>
        <w:pBdr>
          <w:bottom w:val="single" w:color="172B25" w:sz="6" w:space="3"/>
        </w:pBdr>
        <w:spacing w:after="100" w:before="320"/>
      </w:pPr>
      <w:r>
        <w:rPr>
          <w:rFonts w:ascii="Arial" w:cs="Arial" w:eastAsia="Arial" w:hAnsi="Arial"/>
          <w:b/>
          <w:bCs/>
          <w:color w:val="172B25"/>
          <w:sz w:val="28"/>
          <w:szCs w:val="28"/>
        </w:rPr>
        <w:t xml:space="preserve">4  While it runs</w:t>
      </w:r>
    </w:p>
    <w:p>
      <w:pPr>
        <w:pStyle w:val="ListParagraph"/>
        <w:keepLines/>
        <w:numPr>
          <w:ilvl w:val="0"/>
          <w:numId w:val="2"/>
        </w:numPr>
        <w:spacing w:after="70" w:line="260"/>
      </w:pPr>
      <w:r>
        <w:rPr>
          <w:rFonts w:ascii="Arial" w:cs="Arial" w:eastAsia="Arial" w:hAnsi="Arial"/>
          <w:color w:val="172B25"/>
          <w:sz w:val="20"/>
          <w:szCs w:val="20"/>
        </w:rPr>
        <w:t xml:space="preserve">Once a week I compare my bank statement with what the agent says it did.</w:t>
      </w:r>
    </w:p>
    <w:p>
      <w:pPr>
        <w:pStyle w:val="ListParagraph"/>
        <w:keepLines/>
        <w:numPr>
          <w:ilvl w:val="0"/>
          <w:numId w:val="2"/>
        </w:numPr>
        <w:spacing w:after="70" w:line="260"/>
      </w:pPr>
      <w:r>
        <w:rPr>
          <w:rFonts w:ascii="Arial" w:cs="Arial" w:eastAsia="Arial" w:hAnsi="Arial"/>
          <w:color w:val="172B25"/>
          <w:sz w:val="20"/>
          <w:szCs w:val="20"/>
        </w:rPr>
        <w:t xml:space="preserve">I read each payment before I approve it. If I cannot tell why it is being made, I say no.</w:t>
      </w:r>
    </w:p>
    <w:p>
      <w:pPr>
        <w:pStyle w:val="ListParagraph"/>
        <w:keepLines/>
        <w:numPr>
          <w:ilvl w:val="0"/>
          <w:numId w:val="2"/>
        </w:numPr>
        <w:spacing w:after="70" w:line="260"/>
      </w:pPr>
      <w:r>
        <w:rPr>
          <w:rFonts w:ascii="Arial" w:cs="Arial" w:eastAsia="Arial" w:hAnsi="Arial"/>
          <w:color w:val="172B25"/>
          <w:sz w:val="20"/>
          <w:szCs w:val="20"/>
        </w:rPr>
        <w:t xml:space="preserve">When the model, the app or its settings change, I treat it as a new system and drop a level for a while.</w:t>
      </w:r>
    </w:p>
    <w:p>
      <w:pPr>
        <w:pStyle w:val="ListParagraph"/>
        <w:keepLines/>
        <w:numPr>
          <w:ilvl w:val="0"/>
          <w:numId w:val="2"/>
        </w:numPr>
        <w:spacing w:after="70" w:line="260"/>
      </w:pPr>
      <w:r>
        <w:rPr>
          <w:rFonts w:ascii="Arial" w:cs="Arial" w:eastAsia="Arial" w:hAnsi="Arial"/>
          <w:color w:val="172B25"/>
          <w:sz w:val="20"/>
          <w:szCs w:val="20"/>
        </w:rPr>
        <w:t xml:space="preserve">I know what the company that runs the model can see and keep about my money.</w:t>
      </w:r>
    </w:p>
    <w:p>
      <w:pPr>
        <w:pStyle w:val="Heading1"/>
        <w:keepNext/>
        <w:pBdr>
          <w:bottom w:val="single" w:color="172B25" w:sz="6" w:space="3"/>
        </w:pBdr>
        <w:spacing w:after="100" w:before="320"/>
      </w:pPr>
      <w:r>
        <w:rPr>
          <w:rFonts w:ascii="Arial" w:cs="Arial" w:eastAsia="Arial" w:hAnsi="Arial"/>
          <w:b/>
          <w:bCs/>
          <w:color w:val="172B25"/>
          <w:sz w:val="28"/>
          <w:szCs w:val="28"/>
        </w:rPr>
        <w:t xml:space="preserve">5  If something goes wrong</w:t>
      </w:r>
    </w:p>
    <w:p>
      <w:pPr>
        <w:pStyle w:val="ListParagraph"/>
        <w:numPr>
          <w:ilvl w:val="0"/>
          <w:numId w:val="3"/>
        </w:numPr>
        <w:spacing w:after="60" w:line="260"/>
      </w:pPr>
      <w:r>
        <w:rPr>
          <w:rFonts w:ascii="Arial" w:cs="Arial" w:eastAsia="Arial" w:hAnsi="Arial"/>
          <w:color w:val="172B25"/>
          <w:sz w:val="20"/>
          <w:szCs w:val="20"/>
        </w:rPr>
        <w:t xml:space="preserve">Switch the agent off and cut its access </w:t>
      </w:r>
      <w:r>
        <w:rPr>
          <w:rFonts w:ascii="Arial" w:cs="Arial" w:eastAsia="Arial" w:hAnsi="Arial"/>
          <w:b/>
          <w:bCs/>
          <w:color w:val="172B25"/>
          <w:sz w:val="20"/>
          <w:szCs w:val="20"/>
        </w:rPr>
        <w:t xml:space="preserve">at the bank</w:t>
      </w:r>
      <w:r>
        <w:rPr>
          <w:rFonts w:ascii="Arial" w:cs="Arial" w:eastAsia="Arial" w:hAnsi="Arial"/>
          <w:color w:val="172B25"/>
          <w:sz w:val="20"/>
          <w:szCs w:val="20"/>
        </w:rPr>
        <w:t xml:space="preserve">, not only in its own settings.</w:t>
      </w:r>
    </w:p>
    <w:p>
      <w:pPr>
        <w:pStyle w:val="ListParagraph"/>
        <w:numPr>
          <w:ilvl w:val="0"/>
          <w:numId w:val="3"/>
        </w:numPr>
        <w:spacing w:after="60" w:line="260"/>
      </w:pPr>
      <w:r>
        <w:rPr>
          <w:rFonts w:ascii="Arial" w:cs="Arial" w:eastAsia="Arial" w:hAnsi="Arial"/>
          <w:color w:val="172B25"/>
          <w:sz w:val="20"/>
          <w:szCs w:val="20"/>
        </w:rPr>
        <w:t xml:space="preserve">Call the bank’s fraud line at once, then write to it. Your payment terms set the deadline for reporting.</w:t>
      </w:r>
    </w:p>
    <w:p>
      <w:pPr>
        <w:pStyle w:val="ListParagraph"/>
        <w:numPr>
          <w:ilvl w:val="0"/>
          <w:numId w:val="3"/>
        </w:numPr>
        <w:spacing w:after="60" w:line="260"/>
      </w:pPr>
      <w:r>
        <w:rPr>
          <w:rFonts w:ascii="Arial" w:cs="Arial" w:eastAsia="Arial" w:hAnsi="Arial"/>
          <w:color w:val="172B25"/>
          <w:sz w:val="20"/>
          <w:szCs w:val="20"/>
        </w:rPr>
        <w:t xml:space="preserve">Ask the bank to recall each payment. Instant transfers usually cannot be recalled.</w:t>
      </w:r>
    </w:p>
    <w:p>
      <w:pPr>
        <w:pStyle w:val="ListParagraph"/>
        <w:numPr>
          <w:ilvl w:val="0"/>
          <w:numId w:val="3"/>
        </w:numPr>
        <w:spacing w:after="60" w:line="260"/>
      </w:pPr>
      <w:r>
        <w:rPr>
          <w:rFonts w:ascii="Arial" w:cs="Arial" w:eastAsia="Arial" w:hAnsi="Arial"/>
          <w:color w:val="172B25"/>
          <w:sz w:val="20"/>
          <w:szCs w:val="20"/>
        </w:rPr>
        <w:t xml:space="preserve">Keep the evidence. Do not delete or re-run anything.</w:t>
      </w:r>
    </w:p>
    <w:p>
      <w:pPr>
        <w:pStyle w:val="ListParagraph"/>
        <w:numPr>
          <w:ilvl w:val="0"/>
          <w:numId w:val="3"/>
        </w:numPr>
        <w:spacing w:after="60" w:line="260"/>
      </w:pPr>
      <w:r>
        <w:rPr>
          <w:rFonts w:ascii="Arial" w:cs="Arial" w:eastAsia="Arial" w:hAnsi="Arial"/>
          <w:color w:val="172B25"/>
          <w:sz w:val="20"/>
          <w:szCs w:val="20"/>
        </w:rPr>
        <w:t xml:space="preserve">Tell anyone affected, and your insurer if you have a policy that might apply.</w:t>
      </w:r>
    </w:p>
    <w:p>
      <w:pPr>
        <w:pStyle w:val="Heading1"/>
        <w:keepNext/>
        <w:pBdr>
          <w:bottom w:val="single" w:color="172B25" w:sz="6" w:space="3"/>
        </w:pBdr>
        <w:spacing w:after="100" w:before="320"/>
      </w:pPr>
      <w:r>
        <w:rPr>
          <w:rFonts w:ascii="Arial" w:cs="Arial" w:eastAsia="Arial" w:hAnsi="Arial"/>
          <w:b/>
          <w:bCs/>
          <w:color w:val="172B25"/>
          <w:sz w:val="28"/>
          <w:szCs w:val="28"/>
        </w:rPr>
        <w:t xml:space="preserve">6  Points to check (European Union, 26 October 2026)</w:t>
      </w:r>
    </w:p>
    <w:p>
      <w:pPr>
        <w:spacing w:after="60" w:before="0" w:line="264"/>
      </w:pPr>
      <w:r>
        <w:rPr>
          <w:rFonts w:ascii="Arial" w:cs="Arial" w:eastAsia="Arial" w:hAnsi="Arial"/>
          <w:color w:val="56645B"/>
          <w:sz w:val="17"/>
          <w:szCs w:val="17"/>
        </w:rPr>
        <w:t xml:space="preserve">Pointers, not advice. Check with your bank and an adviser. They may be out of date.</w:t>
      </w:r>
    </w:p>
    <w:p>
      <w:pPr>
        <w:pStyle w:val="ListParagraph"/>
        <w:numPr>
          <w:ilvl w:val="0"/>
          <w:numId w:val="4"/>
        </w:numPr>
        <w:spacing w:after="50" w:line="260"/>
      </w:pPr>
      <w:r>
        <w:rPr>
          <w:rFonts w:ascii="Arial" w:cs="Arial" w:eastAsia="Arial" w:hAnsi="Arial"/>
          <w:b/>
          <w:bCs/>
          <w:color w:val="172B25"/>
          <w:sz w:val="20"/>
          <w:szCs w:val="20"/>
        </w:rPr>
        <w:t xml:space="preserve">Your bank’s terms on sharing your login or codes.</w:t>
      </w:r>
      <w:r>
        <w:rPr>
          <w:rFonts w:ascii="Arial" w:cs="Arial" w:eastAsia="Arial" w:hAnsi="Arial"/>
          <w:color w:val="172B25"/>
          <w:sz w:val="20"/>
          <w:szCs w:val="20"/>
        </w:rPr>
        <w:t xml:space="preserve"> Many banks restrict it. If an agent acts on shared credentials, that could affect who bears a loss. Read the clause before you start.</w:t>
      </w:r>
    </w:p>
    <w:p>
      <w:pPr>
        <w:pStyle w:val="ListParagraph"/>
        <w:numPr>
          <w:ilvl w:val="0"/>
          <w:numId w:val="4"/>
        </w:numPr>
        <w:spacing w:after="50" w:line="260"/>
      </w:pPr>
      <w:r>
        <w:rPr>
          <w:rFonts w:ascii="Arial" w:cs="Arial" w:eastAsia="Arial" w:hAnsi="Arial"/>
          <w:color w:val="172B25"/>
          <w:sz w:val="20"/>
          <w:szCs w:val="20"/>
        </w:rPr>
        <w:t xml:space="preserve">PSD2 contains refund rules for </w:t>
      </w:r>
      <w:r>
        <w:rPr>
          <w:rFonts w:ascii="Arial" w:cs="Arial" w:eastAsia="Arial" w:hAnsi="Arial"/>
          <w:i/>
          <w:iCs/>
          <w:color w:val="172B25"/>
          <w:sz w:val="20"/>
          <w:szCs w:val="20"/>
        </w:rPr>
        <w:t xml:space="preserve">unauthorised</w:t>
      </w:r>
      <w:r>
        <w:rPr>
          <w:rFonts w:ascii="Arial" w:cs="Arial" w:eastAsia="Arial" w:hAnsi="Arial"/>
          <w:color w:val="172B25"/>
          <w:sz w:val="20"/>
          <w:szCs w:val="20"/>
        </w:rPr>
        <w:t xml:space="preserve"> payments (Articles 72 to 74). A payment your agent made on your instruction, even by mistake, may not count as unauthorised. Do not assume a refund.</w:t>
      </w:r>
    </w:p>
    <w:p>
      <w:pPr>
        <w:pStyle w:val="ListParagraph"/>
        <w:numPr>
          <w:ilvl w:val="0"/>
          <w:numId w:val="4"/>
        </w:numPr>
        <w:spacing w:after="50" w:line="260"/>
      </w:pPr>
      <w:r>
        <w:rPr>
          <w:rFonts w:ascii="Arial" w:cs="Arial" w:eastAsia="Arial" w:hAnsi="Arial"/>
          <w:color w:val="172B25"/>
          <w:sz w:val="20"/>
          <w:szCs w:val="20"/>
        </w:rPr>
        <w:t xml:space="preserve">Instant transfers (SEPA Instant) settle within seconds and are generally hard to recall. Banks offer a payee-name check. Treat a mismatch as a stop.</w:t>
      </w:r>
    </w:p>
    <w:p>
      <w:pPr>
        <w:pStyle w:val="ListParagraph"/>
        <w:numPr>
          <w:ilvl w:val="0"/>
          <w:numId w:val="4"/>
        </w:numPr>
        <w:spacing w:after="50" w:line="260"/>
      </w:pPr>
      <w:r>
        <w:rPr>
          <w:rFonts w:ascii="Arial" w:cs="Arial" w:eastAsia="Arial" w:hAnsi="Arial"/>
          <w:color w:val="172B25"/>
          <w:sz w:val="20"/>
          <w:szCs w:val="20"/>
        </w:rPr>
        <w:t xml:space="preserve">If the agent sees other people’s names and account details, data protection law may apply. Purely personal, household use is generally treated differently. Ask an adviser if you are unsure.</w:t>
      </w:r>
    </w:p>
    <w:p>
      <w:pPr>
        <w:pStyle w:val="Heading1"/>
        <w:keepNext/>
        <w:pBdr>
          <w:bottom w:val="single" w:color="172B25" w:sz="6" w:space="3"/>
        </w:pBdr>
        <w:spacing w:after="100" w:before="320"/>
      </w:pPr>
      <w:r>
        <w:rPr>
          <w:rFonts w:ascii="Arial" w:cs="Arial" w:eastAsia="Arial" w:hAnsi="Arial"/>
          <w:b/>
          <w:bCs/>
          <w:color w:val="172B25"/>
          <w:sz w:val="28"/>
          <w:szCs w:val="28"/>
        </w:rPr>
        <w:t xml:space="preserve">7  My decision</w:t>
      </w:r>
    </w:p>
    <w:p>
      <w:pPr>
        <w:spacing w:after="100" w:before="60" w:line="264"/>
      </w:pPr>
      <w:r>
        <w:rPr>
          <w:rFonts w:ascii="Arial" w:cs="Arial" w:eastAsia="Arial" w:hAnsi="Arial"/>
          <w:color w:val="172B25"/>
          <w:sz w:val="20"/>
          <w:szCs w:val="20"/>
        </w:rPr>
        <w:t xml:space="preserve">I will start at level ____ on ______________, and review this on ______________.</w:t>
      </w:r>
    </w:p>
    <w:p>
      <w:pPr>
        <w:pStyle w:val="ListParagraph"/>
        <w:keepLines/>
        <w:numPr>
          <w:ilvl w:val="0"/>
          <w:numId w:val="2"/>
        </w:numPr>
        <w:spacing w:after="70" w:line="260"/>
      </w:pPr>
      <w:r>
        <w:rPr>
          <w:rFonts w:ascii="Arial" w:cs="Arial" w:eastAsia="Arial" w:hAnsi="Arial"/>
          <w:color w:val="172B25"/>
          <w:sz w:val="20"/>
          <w:szCs w:val="20"/>
        </w:rPr>
        <w:t xml:space="preserve">I understand that </w:t>
      </w:r>
      <w:r>
        <w:rPr>
          <w:rFonts w:ascii="Arial" w:cs="Arial" w:eastAsia="Arial" w:hAnsi="Arial"/>
          <w:b/>
          <w:bCs/>
          <w:color w:val="172B25"/>
          <w:sz w:val="20"/>
          <w:szCs w:val="20"/>
        </w:rPr>
        <w:t xml:space="preserve">I answer for what the agent does</w:t>
      </w:r>
      <w:r>
        <w:rPr>
          <w:rFonts w:ascii="Arial" w:cs="Arial" w:eastAsia="Arial" w:hAnsi="Arial"/>
          <w:color w:val="172B25"/>
          <w:sz w:val="20"/>
          <w:szCs w:val="20"/>
        </w:rPr>
        <w:t xml:space="preserve">, and I accept the risk that is left.</w:t>
      </w:r>
    </w:p>
    <w:p>
      <w:pPr>
        <w:pStyle w:val="ListParagraph"/>
        <w:keepLines/>
        <w:numPr>
          <w:ilvl w:val="0"/>
          <w:numId w:val="2"/>
        </w:numPr>
        <w:spacing w:after="70" w:line="260"/>
      </w:pPr>
      <w:r>
        <w:rPr>
          <w:rFonts w:ascii="Arial" w:cs="Arial" w:eastAsia="Arial" w:hAnsi="Arial"/>
          <w:color w:val="172B25"/>
          <w:sz w:val="20"/>
          <w:szCs w:val="20"/>
        </w:rPr>
        <w:t xml:space="preserve">I understand that this checklist is information only, not advice, and that I use it at my own risk. I took my own advice where I thought I needed it.</w:t>
      </w:r>
    </w:p>
    <w:p>
      <w:pPr>
        <w:pBdr>
          <w:bottom w:val="single" w:color="C9CFC3" w:sz="4" w:space="1"/>
        </w:pBdr>
        <w:spacing w:after="0" w:before="200"/>
      </w:pPr>
    </w:p>
    <w:p>
      <w:pPr>
        <w:pBdr>
          <w:bottom w:val="single" w:color="C9CFC3" w:sz="4" w:space="1"/>
        </w:pBdr>
        <w:spacing w:after="0" w:before="200"/>
      </w:pPr>
    </w:p>
    <w:p>
      <w:pPr>
        <w:spacing w:after="100" w:before="100" w:line="264"/>
      </w:pPr>
      <w:r>
        <w:rPr>
          <w:rFonts w:ascii="Arial" w:cs="Arial" w:eastAsia="Arial" w:hAnsi="Arial"/>
          <w:color w:val="56645B"/>
          <w:sz w:val="17"/>
          <w:szCs w:val="17"/>
        </w:rPr>
        <w:t xml:space="preserve">For a business or organisation, use the full Banking Agent Assessment at nullfte.com/downloads/.</w:t>
      </w:r>
    </w:p>
    <w:p>
      <w:pPr>
        <w:pStyle w:val="Heading1"/>
        <w:keepNext/>
        <w:pageBreakBefore/>
        <w:pBdr>
          <w:bottom w:val="single" w:color="172B25" w:sz="6" w:space="3"/>
        </w:pBdr>
        <w:spacing w:after="60" w:before="0"/>
      </w:pPr>
      <w:r>
        <w:rPr>
          <w:rFonts w:ascii="Arial" w:cs="Arial" w:eastAsia="Arial" w:hAnsi="Arial"/>
          <w:b/>
          <w:bCs/>
          <w:color w:val="172B25"/>
          <w:sz w:val="28"/>
          <w:szCs w:val="28"/>
        </w:rPr>
        <w:t xml:space="preserve">Terms of use and disclaimer</w:t>
      </w:r>
    </w:p>
    <w:p>
      <w:pPr>
        <w:spacing w:after="120"/>
      </w:pPr>
      <w:r>
        <w:rPr>
          <w:rFonts w:ascii="Arial" w:cs="Arial" w:eastAsia="Arial" w:hAnsi="Arial"/>
          <w:color w:val="56645B"/>
          <w:sz w:val="16"/>
          <w:szCs w:val="16"/>
        </w:rPr>
        <w:t xml:space="preserve">Version 1.2, 26 October 2026</w:t>
      </w:r>
    </w:p>
    <w:p>
      <w:pPr>
        <w:keepLines/>
        <w:spacing w:after="60" w:line="246"/>
      </w:pPr>
      <w:r>
        <w:rPr>
          <w:rFonts w:ascii="Arial" w:cs="Arial" w:eastAsia="Arial" w:hAnsi="Arial"/>
          <w:b/>
          <w:bCs/>
          <w:color w:val="172B25"/>
          <w:sz w:val="17"/>
          <w:szCs w:val="17"/>
        </w:rPr>
        <w:t xml:space="preserve">1.  What the downloads are.  </w:t>
      </w:r>
      <w:r>
        <w:rPr>
          <w:rFonts w:ascii="Arial" w:cs="Arial" w:eastAsia="Arial" w:hAnsi="Arial"/>
          <w:color w:val="172B25"/>
          <w:sz w:val="17"/>
          <w:szCs w:val="17"/>
        </w:rPr>
        <w:t xml:space="preserve">The files on nullfte.com/downloads/ are general information and templates. They are there to help you think through a topic and organise your own decisions. They are not legal, financial, investment, tax, accounting, insurance, security, audit or compliance advice. They are not a certification, an audit, an opinion or any kind of assurance, and nobody should read them as saying that a system, a person or an organisation meets any law, standard or contract.</w:t>
      </w:r>
    </w:p>
    <w:p>
      <w:pPr>
        <w:keepLines/>
        <w:spacing w:after="60" w:line="246"/>
      </w:pPr>
      <w:r>
        <w:rPr>
          <w:rFonts w:ascii="Arial" w:cs="Arial" w:eastAsia="Arial" w:hAnsi="Arial"/>
          <w:b/>
          <w:bCs/>
          <w:color w:val="172B25"/>
          <w:sz w:val="17"/>
          <w:szCs w:val="17"/>
        </w:rPr>
        <w:t xml:space="preserve">2.  No advice, no relationship.  </w:t>
      </w:r>
      <w:r>
        <w:rPr>
          <w:rFonts w:ascii="Arial" w:cs="Arial" w:eastAsia="Arial" w:hAnsi="Arial"/>
          <w:color w:val="172B25"/>
          <w:sz w:val="17"/>
          <w:szCs w:val="17"/>
        </w:rPr>
        <w:t xml:space="preserve">Publishing these files is not advice to you. They do not take your circumstances into account, and they create no adviser–client, attorney–client, fiduciary or other professional relationship and no duty of care towards you. Whether any point applies to you, and what to do about it, is for you and your own qualified advisers, for example a lawyer, an auditor, your bank and your insurer.</w:t>
      </w:r>
    </w:p>
    <w:p>
      <w:pPr>
        <w:keepLines/>
        <w:spacing w:after="60" w:line="246"/>
      </w:pPr>
      <w:r>
        <w:rPr>
          <w:rFonts w:ascii="Arial" w:cs="Arial" w:eastAsia="Arial" w:hAnsi="Arial"/>
          <w:b/>
          <w:bCs/>
          <w:color w:val="172B25"/>
          <w:sz w:val="17"/>
          <w:szCs w:val="17"/>
        </w:rPr>
        <w:t xml:space="preserve">3.  No recommendation.  </w:t>
      </w:r>
      <w:r>
        <w:rPr>
          <w:rFonts w:ascii="Arial" w:cs="Arial" w:eastAsia="Arial" w:hAnsi="Arial"/>
          <w:color w:val="172B25"/>
          <w:sz w:val="17"/>
          <w:szCs w:val="17"/>
        </w:rPr>
        <w:t xml:space="preserve">Publishing these files is not a recommendation to give an AI agent access to a bank account or to any other asset. An agent with access to money can cause loss, some of it permanent. Whether to do it, and with what access, is your decision.</w:t>
      </w:r>
    </w:p>
    <w:p>
      <w:pPr>
        <w:keepLines/>
        <w:spacing w:after="60" w:line="246"/>
      </w:pPr>
      <w:r>
        <w:rPr>
          <w:rFonts w:ascii="Arial" w:cs="Arial" w:eastAsia="Arial" w:hAnsi="Arial"/>
          <w:b/>
          <w:bCs/>
          <w:color w:val="172B25"/>
          <w:sz w:val="17"/>
          <w:szCs w:val="17"/>
        </w:rPr>
        <w:t xml:space="preserve">4.  No warranty.  </w:t>
      </w:r>
      <w:r>
        <w:rPr>
          <w:rFonts w:ascii="Arial" w:cs="Arial" w:eastAsia="Arial" w:hAnsi="Arial"/>
          <w:color w:val="172B25"/>
          <w:sz w:val="17"/>
          <w:szCs w:val="17"/>
        </w:rPr>
        <w:t xml:space="preserve">The files are provided as they are and as available, free of charge. To the fullest extent the law allows, I make no promise or warranty of any kind: not that they are accurate, complete, current, free of error or suitable for your purpose, not that they agree with any law, regulation, standard or contract, and not that following or completing them will prevent loss, fraud, error or a breach of any rule.</w:t>
      </w:r>
    </w:p>
    <w:p>
      <w:pPr>
        <w:keepLines/>
        <w:spacing w:after="60" w:line="246"/>
      </w:pPr>
      <w:r>
        <w:rPr>
          <w:rFonts w:ascii="Arial" w:cs="Arial" w:eastAsia="Arial" w:hAnsi="Arial"/>
          <w:b/>
          <w:bCs/>
          <w:color w:val="172B25"/>
          <w:sz w:val="17"/>
          <w:szCs w:val="17"/>
        </w:rPr>
        <w:t xml:space="preserve">5.  Law and rules change.  </w:t>
      </w:r>
      <w:r>
        <w:rPr>
          <w:rFonts w:ascii="Arial" w:cs="Arial" w:eastAsia="Arial" w:hAnsi="Arial"/>
          <w:color w:val="172B25"/>
          <w:sz w:val="17"/>
          <w:szCs w:val="17"/>
        </w:rPr>
        <w:t xml:space="preserve">Statements about laws, regulations, standards, payment schemes and bank practice are a snapshot as of the date shown in each file. Some were still changing on that date and are marked “check”. They may be incomplete, misunderstood or out of date by the time you read them. I am under no obligation to update the files or to tell you that a newer version exists. The EU and US editions are for orientation only. They do not say that any law applies to you, and rules in other places differ.</w:t>
      </w:r>
    </w:p>
    <w:p>
      <w:pPr>
        <w:keepLines/>
        <w:spacing w:after="60" w:line="246"/>
      </w:pPr>
      <w:r>
        <w:rPr>
          <w:rFonts w:ascii="Arial" w:cs="Arial" w:eastAsia="Arial" w:hAnsi="Arial"/>
          <w:b/>
          <w:bCs/>
          <w:color w:val="172B25"/>
          <w:sz w:val="17"/>
          <w:szCs w:val="17"/>
        </w:rPr>
        <w:t xml:space="preserve">6.  Your responsibility.  </w:t>
      </w:r>
      <w:r>
        <w:rPr>
          <w:rFonts w:ascii="Arial" w:cs="Arial" w:eastAsia="Arial" w:hAnsi="Arial"/>
          <w:color w:val="172B25"/>
          <w:sz w:val="17"/>
          <w:szCs w:val="17"/>
        </w:rPr>
        <w:t xml:space="preserve">You alone are responsible for how you use the files and for everything that follows from it: your decisions, your accounts and money, your AI agent and what it does, the controls you adopt or leave out, your compliance, the people you involve, and anything you rely on. If you complete a document from these files, what it says is yours.</w:t>
      </w:r>
    </w:p>
    <w:p>
      <w:pPr>
        <w:keepLines/>
        <w:spacing w:after="60" w:line="246"/>
      </w:pPr>
      <w:r>
        <w:rPr>
          <w:rFonts w:ascii="Arial" w:cs="Arial" w:eastAsia="Arial" w:hAnsi="Arial"/>
          <w:b/>
          <w:bCs/>
          <w:color w:val="172B25"/>
          <w:sz w:val="17"/>
          <w:szCs w:val="17"/>
        </w:rPr>
        <w:t xml:space="preserve">7.  Limit of liability.  </w:t>
      </w:r>
      <w:r>
        <w:rPr>
          <w:rFonts w:ascii="Arial" w:cs="Arial" w:eastAsia="Arial" w:hAnsi="Arial"/>
          <w:color w:val="172B25"/>
          <w:sz w:val="17"/>
          <w:szCs w:val="17"/>
        </w:rPr>
        <w:t xml:space="preserve">To the fullest extent the law allows, I am not liable for any loss or damage arising from the use of the files, from relying on them, or from being unable to use them. That covers loss of money or funds, loss of profit, fines and penalties, loss of data, damage to reputation, and indirect or consequential loss, whether the claim is in contract, in tort or otherwise. Nothing here excludes or limits liability that cannot be excluded or limited by law, including liability for intent or fraudulent concealment, for injury to life, body or health, and under mandatory product-liability rules. Where the law allows liability for something provided free of charge to be limited to intent and gross negligence, that is the limit.</w:t>
      </w:r>
    </w:p>
    <w:p>
      <w:pPr>
        <w:keepLines/>
        <w:spacing w:after="60" w:line="246"/>
      </w:pPr>
      <w:r>
        <w:rPr>
          <w:rFonts w:ascii="Arial" w:cs="Arial" w:eastAsia="Arial" w:hAnsi="Arial"/>
          <w:b/>
          <w:bCs/>
          <w:color w:val="172B25"/>
          <w:sz w:val="17"/>
          <w:szCs w:val="17"/>
        </w:rPr>
        <w:t xml:space="preserve">8.  Other people’s standards, names and sources.  </w:t>
      </w:r>
      <w:r>
        <w:rPr>
          <w:rFonts w:ascii="Arial" w:cs="Arial" w:eastAsia="Arial" w:hAnsi="Arial"/>
          <w:color w:val="172B25"/>
          <w:sz w:val="17"/>
          <w:szCs w:val="17"/>
        </w:rPr>
        <w:t xml:space="preserve">Laws, standards, payment schemes and bodies (for example NIST, the CFPB, Nacha and the EU institutions) are named only to say what is being discussed. I am not affiliated with them, and they have not reviewed or endorsed these files. Standards are protected by their owners’ copyright and none of their text is reproduced. Links lead to sites I do not control, and I am not responsible for what is on them.</w:t>
      </w:r>
    </w:p>
    <w:p>
      <w:pPr>
        <w:keepLines/>
        <w:spacing w:after="60" w:line="246"/>
      </w:pPr>
      <w:r>
        <w:rPr>
          <w:rFonts w:ascii="Arial" w:cs="Arial" w:eastAsia="Arial" w:hAnsi="Arial"/>
          <w:b/>
          <w:bCs/>
          <w:color w:val="172B25"/>
          <w:sz w:val="17"/>
          <w:szCs w:val="17"/>
        </w:rPr>
        <w:t xml:space="preserve">9.  Licence.  </w:t>
      </w:r>
      <w:r>
        <w:rPr>
          <w:rFonts w:ascii="Arial" w:cs="Arial" w:eastAsia="Arial" w:hAnsi="Arial"/>
          <w:color w:val="172B25"/>
          <w:sz w:val="17"/>
          <w:szCs w:val="17"/>
        </w:rPr>
        <w:t xml:space="preserve">You may use, copy, adapt and share the files for yourself or inside your organisation, including in your own business. Keep the nullfte.com credit and this notice, and mark what you changed. Do not present your version as written, reviewed or endorsed by me, and do not sell the files as they are. All other rights stay with me, and the licence does not cover third-party material that is named in the files. I may change or withdraw the files at any time; the licence for a copy you already have stays. The AI agent machine hardening guide is the exception: it has its own licence, Creative Commons Attribution 4.0 (CC BY 4.0), printed in the guide, and that licence applies to it instead of this clause.</w:t>
      </w:r>
    </w:p>
    <w:p>
      <w:pPr>
        <w:keepLines/>
        <w:spacing w:after="60" w:line="246"/>
      </w:pPr>
      <w:r>
        <w:rPr>
          <w:rFonts w:ascii="Arial" w:cs="Arial" w:eastAsia="Arial" w:hAnsi="Arial"/>
          <w:b/>
          <w:bCs/>
          <w:color w:val="172B25"/>
          <w:sz w:val="17"/>
          <w:szCs w:val="17"/>
        </w:rPr>
        <w:t xml:space="preserve">10.  Privacy.  </w:t>
      </w:r>
      <w:r>
        <w:rPr>
          <w:rFonts w:ascii="Arial" w:cs="Arial" w:eastAsia="Arial" w:hAnsi="Arial"/>
          <w:color w:val="172B25"/>
          <w:sz w:val="17"/>
          <w:szCs w:val="17"/>
        </w:rPr>
        <w:t xml:space="preserve">Downloading needs no account. What the site records is described in the privacy notice at nullfte.com/privacy/.</w:t>
      </w:r>
    </w:p>
    <w:p>
      <w:pPr>
        <w:keepLines/>
        <w:spacing w:after="60" w:line="246"/>
      </w:pPr>
      <w:r>
        <w:rPr>
          <w:rFonts w:ascii="Arial" w:cs="Arial" w:eastAsia="Arial" w:hAnsi="Arial"/>
          <w:b/>
          <w:bCs/>
          <w:color w:val="172B25"/>
          <w:sz w:val="17"/>
          <w:szCs w:val="17"/>
        </w:rPr>
        <w:t xml:space="preserve">11.  Applicable law, and parts that fail.  </w:t>
      </w:r>
      <w:r>
        <w:rPr>
          <w:rFonts w:ascii="Arial" w:cs="Arial" w:eastAsia="Arial" w:hAnsi="Arial"/>
          <w:color w:val="172B25"/>
          <w:sz w:val="17"/>
          <w:szCs w:val="17"/>
        </w:rPr>
        <w:t xml:space="preserve">German law applies to the extent the law allows. Mandatory consumer-protection rules of the country where you live stay unaffected. If a part of these terms turns out to be invalid, the rest stays in force.</w:t>
      </w:r>
    </w:p>
    <w:p>
      <w:pPr>
        <w:keepLines/>
        <w:spacing w:after="60" w:line="246"/>
      </w:pPr>
      <w:r>
        <w:rPr>
          <w:rFonts w:ascii="Arial" w:cs="Arial" w:eastAsia="Arial" w:hAnsi="Arial"/>
          <w:b/>
          <w:bCs/>
          <w:color w:val="172B25"/>
          <w:sz w:val="17"/>
          <w:szCs w:val="17"/>
        </w:rPr>
        <w:t xml:space="preserve">12.  Who is responsible for the content.  </w:t>
      </w:r>
      <w:r>
        <w:rPr>
          <w:rFonts w:ascii="Arial" w:cs="Arial" w:eastAsia="Arial" w:hAnsi="Arial"/>
          <w:color w:val="172B25"/>
          <w:sz w:val="17"/>
          <w:szCs w:val="17"/>
        </w:rPr>
        <w:t xml:space="preserve">The publisher and the person responsible for the content are named in the legal notice at nullfte.com/legal/.</w:t>
      </w:r>
    </w:p>
    <w:sectPr>
      <w:headerReference w:type="default" r:id="rId6"/>
      <w:footerReference w:type="default" r:id="rId7"/>
      <w:pgSz w:w="11906" w:h="16838" w:orient="portrait"/>
      <w:pgMar w:top="1234" w:right="1134" w:bottom="1134" w:left="1134"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FC3" w:sz="4" w:space="4"/>
      </w:pBdr>
      <w:spacing w:before="0"/>
    </w:pPr>
    <w:r>
      <w:rPr>
        <w:rFonts w:ascii="Arial" w:cs="Arial" w:eastAsia="Arial" w:hAnsi="Arial"/>
        <w:color w:val="56645B"/>
        <w:sz w:val="15"/>
        <w:szCs w:val="15"/>
      </w:rPr>
      <w:t xml:space="preserve">Template, not advice, no warranty. Terms: nullfte.com/downloads/terms/      Page </w:t>
    </w:r>
    <w:r>
      <w:rPr>
        <w:rFonts w:ascii="Arial" w:cs="Arial" w:eastAsia="Arial" w:hAnsi="Arial"/>
        <w:color w:val="56645B"/>
        <w:sz w:val="15"/>
        <w:szCs w:val="15"/>
      </w:rPr>
      <w:fldChar w:fldCharType="begin"/>
    </w:r>
    <w:r>
      <w:rPr>
        <w:rFonts w:ascii="Arial" w:cs="Arial" w:eastAsia="Arial" w:hAnsi="Arial"/>
        <w:color w:val="56645B"/>
        <w:sz w:val="15"/>
        <w:szCs w:val="15"/>
      </w:rPr>
      <w:instrText xml:space="preserve">PAGE</w:instrText>
    </w:r>
    <w:r>
      <w:rPr>
        <w:rFonts w:ascii="Arial" w:cs="Arial" w:eastAsia="Arial" w:hAnsi="Arial"/>
        <w:color w:val="56645B"/>
        <w:sz w:val="15"/>
        <w:szCs w:val="15"/>
      </w:rPr>
      <w:fldChar w:fldCharType="separate"/>
    </w:r>
    <w:r>
      <w:rPr>
        <w:rFonts w:ascii="Arial" w:cs="Arial" w:eastAsia="Arial" w:hAnsi="Arial"/>
        <w:color w:val="56645B"/>
        <w:sz w:val="15"/>
        <w:szCs w:val="15"/>
      </w:rPr>
      <w:fldChar w:fldCharType="end"/>
    </w:r>
    <w:r>
      <w:rPr>
        <w:rFonts w:ascii="Arial" w:cs="Arial" w:eastAsia="Arial" w:hAnsi="Arial"/>
        <w:color w:val="56645B"/>
        <w:sz w:val="15"/>
        <w:szCs w:val="15"/>
      </w:rPr>
      <w:t xml:space="preserve"> of </w:t>
    </w:r>
    <w:r>
      <w:rPr>
        <w:rFonts w:ascii="Arial" w:cs="Arial" w:eastAsia="Arial" w:hAnsi="Arial"/>
        <w:color w:val="56645B"/>
        <w:sz w:val="15"/>
        <w:szCs w:val="15"/>
      </w:rPr>
      <w:fldChar w:fldCharType="begin"/>
    </w:r>
    <w:r>
      <w:rPr>
        <w:rFonts w:ascii="Arial" w:cs="Arial" w:eastAsia="Arial" w:hAnsi="Arial"/>
        <w:color w:val="56645B"/>
        <w:sz w:val="15"/>
        <w:szCs w:val="15"/>
      </w:rPr>
      <w:instrText xml:space="preserve">NUMPAGES</w:instrText>
    </w:r>
    <w:r>
      <w:rPr>
        <w:rFonts w:ascii="Arial" w:cs="Arial" w:eastAsia="Arial" w:hAnsi="Arial"/>
        <w:color w:val="56645B"/>
        <w:sz w:val="15"/>
        <w:szCs w:val="15"/>
      </w:rPr>
      <w:fldChar w:fldCharType="separate"/>
    </w:r>
    <w:r>
      <w:rPr>
        <w:rFonts w:ascii="Arial" w:cs="Arial" w:eastAsia="Arial" w:hAnsi="Arial"/>
        <w:color w:val="56645B"/>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FC3" w:sz="4" w:space="4"/>
      </w:pBdr>
      <w:spacing w:after="0"/>
    </w:pPr>
    <w:r>
      <w:rPr>
        <w:rFonts w:ascii="Arial" w:cs="Arial" w:eastAsia="Arial" w:hAnsi="Arial"/>
        <w:b/>
        <w:bCs/>
        <w:color w:val="172B25"/>
        <w:sz w:val="17"/>
        <w:szCs w:val="17"/>
      </w:rPr>
      <w:t xml:space="preserve">nullfte</w:t>
    </w:r>
    <w:r>
      <w:rPr>
        <w:rFonts w:ascii="Arial" w:cs="Arial" w:eastAsia="Arial" w:hAnsi="Arial"/>
        <w:b/>
        <w:bCs/>
        <w:color w:val="758D39"/>
        <w:sz w:val="17"/>
        <w:szCs w:val="17"/>
      </w:rPr>
      <w:t xml:space="preserve">·</w:t>
    </w:r>
    <w:r>
      <w:rPr>
        <w:rFonts w:ascii="Arial" w:cs="Arial" w:eastAsia="Arial" w:hAnsi="Arial"/>
        <w:color w:val="56645B"/>
        <w:sz w:val="15"/>
        <w:szCs w:val="15"/>
      </w:rPr>
      <w:t xml:space="preserve">   Banking agent checklist · EU edition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80" w:hanging="260"/>
      </w:pPr>
      <w:rPr>
        <w:rFonts w:ascii="Arial" w:cs="Arial" w:eastAsia="Arial" w:hAnsi="Arial"/>
        <w:b/>
        <w:bCs/>
        <w:color w:val="172B25"/>
      </w:rPr>
    </w:lvl>
  </w:abstractNum>
  <w:abstractNum w:abstractNumId="3" w15:restartNumberingAfterBreak="0">
    <w:multiLevelType w:val="hybridMultilevel"/>
    <w:lvl w:ilvl="0" w:tentative="1">
      <w:start w:val="1"/>
      <w:numFmt w:val="bullet"/>
      <w:lvlText w:val="☐"/>
      <w:lvlJc w:val="left"/>
      <w:pPr>
        <w:ind w:left="440" w:hanging="440"/>
      </w:pPr>
      <w:rPr>
        <w:rFonts w:ascii="Segoe UI Symbol" w:cs="Segoe UI Symbol" w:eastAsia="Segoe UI Symbol" w:hAnsi="Segoe UI Symbol"/>
        <w:color w:val="172B25"/>
        <w:sz w:val="24"/>
        <w:szCs w:val="24"/>
      </w:rPr>
    </w:lvl>
  </w:abstractNum>
  <w:abstractNum w:abstractNumId="4" w15:restartNumberingAfterBreak="0">
    <w:multiLevelType w:val="hybridMultilevel"/>
    <w:lvl w:ilvl="0" w:tentative="1">
      <w:start w:val="1"/>
      <w:numFmt w:val="decimal"/>
      <w:lvlText w:val="%1."/>
      <w:lvlJc w:val="left"/>
      <w:pPr>
        <w:ind w:left="380" w:hanging="300"/>
      </w:pPr>
      <w:rPr>
        <w:rFonts w:ascii="Arial" w:cs="Arial" w:eastAsia="Arial" w:hAnsi="Arial"/>
        <w:b/>
        <w:bCs/>
        <w:color w:val="172B25"/>
      </w:r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2B25"/>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next w:val="Normal"/>
    <w:qFormat/>
    <w:rPr>
      <w:rFonts w:ascii="Arial" w:cs="Arial" w:eastAsia="Arial" w:hAnsi="Arial"/>
      <w:b/>
      <w:bCs/>
      <w:color w:val="172B25"/>
      <w:sz w:val="44"/>
      <w:szCs w:val="44"/>
    </w:rPr>
  </w:style>
  <w:style w:type="paragraph" w:styleId="Heading1">
    <w:name w:val="Heading 1"/>
    <w:basedOn w:val="Normal"/>
    <w:next w:val="Normal"/>
    <w:qFormat/>
    <w:pPr>
      <w:outlineLvl w:val="0"/>
    </w:pPr>
    <w:rPr>
      <w:rFonts w:ascii="Arial" w:cs="Arial" w:eastAsia="Arial" w:hAnsi="Arial"/>
      <w:b/>
      <w:bCs/>
      <w:color w:val="172B25"/>
      <w:sz w:val="28"/>
      <w:szCs w:val="28"/>
    </w:rPr>
  </w:style>
  <w:style w:type="paragraph" w:styleId="Heading2">
    <w:name w:val="Heading 2"/>
    <w:basedOn w:val="Normal"/>
    <w:next w:val="Normal"/>
    <w:qFormat/>
    <w:pPr>
      <w:outlineLvl w:val="1"/>
    </w:pPr>
    <w:rPr>
      <w:rFonts w:ascii="Arial" w:cs="Arial" w:eastAsia="Arial" w:hAnsi="Arial"/>
      <w:b/>
      <w:bCs/>
      <w:color w:val="172B25"/>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Banking agent checklist · EU edition</dc:title>
  <dc:creator>nullfte.com</dc:creator>
  <dc:description>A personal checklist for giving an AI agent access to a bank account.</dc:description>
  <cp:lastModifiedBy>Un-named</cp:lastModifiedBy>
  <cp:revision>1</cp:revision>
  <dcterms:created xsi:type="dcterms:W3CDTF">2026-10-26T22:26:43.552Z</dcterms:created>
  <dcterms:modified xsi:type="dcterms:W3CDTF">2026-10-26T22:26:43.552Z</dcterms:modified>
</cp:coreProperties>
</file>

<file path=docProps/custom.xml><?xml version="1.0" encoding="utf-8"?>
<Properties xmlns="http://schemas.openxmlformats.org/officeDocument/2006/custom-properties" xmlns:vt="http://schemas.openxmlformats.org/officeDocument/2006/docPropsVTypes"/>
</file>